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26AAD" w14:textId="6B5CAB8B" w:rsidR="00921F72" w:rsidRPr="00773EDD" w:rsidRDefault="00921F72" w:rsidP="009C0BAE">
      <w:pPr>
        <w:ind w:firstLine="709"/>
        <w:jc w:val="both"/>
        <w:rPr>
          <w:b/>
          <w:bCs/>
          <w:u w:val="single"/>
        </w:rPr>
      </w:pPr>
      <w:r w:rsidRPr="00773EDD">
        <w:rPr>
          <w:b/>
          <w:bCs/>
          <w:u w:val="single"/>
        </w:rPr>
        <w:t>CIRCULAR No</w:t>
      </w:r>
      <w:bookmarkStart w:id="0" w:name="_GoBack"/>
      <w:r w:rsidRPr="00773EDD">
        <w:rPr>
          <w:b/>
          <w:bCs/>
          <w:u w:val="single"/>
        </w:rPr>
        <w:t>.</w:t>
      </w:r>
      <w:r w:rsidR="00DC5ABD">
        <w:rPr>
          <w:b/>
          <w:bCs/>
          <w:u w:val="single"/>
        </w:rPr>
        <w:t xml:space="preserve"> 88</w:t>
      </w:r>
      <w:r w:rsidRPr="00773EDD">
        <w:rPr>
          <w:b/>
          <w:bCs/>
          <w:u w:val="single"/>
        </w:rPr>
        <w:t>-20</w:t>
      </w:r>
      <w:r w:rsidR="000F39B7" w:rsidRPr="00773EDD">
        <w:rPr>
          <w:b/>
          <w:bCs/>
          <w:u w:val="single"/>
        </w:rPr>
        <w:t>20</w:t>
      </w:r>
      <w:bookmarkEnd w:id="0"/>
    </w:p>
    <w:p w14:paraId="10136337" w14:textId="77777777" w:rsidR="00921F72" w:rsidRPr="00773EDD" w:rsidRDefault="00921F72" w:rsidP="009C0BAE">
      <w:pPr>
        <w:ind w:firstLine="709"/>
        <w:jc w:val="both"/>
        <w:rPr>
          <w:b/>
          <w:bCs/>
          <w:u w:val="single"/>
          <w:lang w:eastAsia="es-CR"/>
        </w:rPr>
      </w:pPr>
    </w:p>
    <w:p w14:paraId="52D1EBD4" w14:textId="11F7BF22" w:rsidR="00921F72" w:rsidRPr="0006424A" w:rsidRDefault="00921F72" w:rsidP="00041EB7">
      <w:pPr>
        <w:ind w:left="709"/>
        <w:jc w:val="both"/>
        <w:rPr>
          <w:bCs/>
        </w:rPr>
      </w:pPr>
      <w:r w:rsidRPr="00773EDD">
        <w:rPr>
          <w:b/>
          <w:bCs/>
          <w:u w:val="single"/>
        </w:rPr>
        <w:t>Asunto</w:t>
      </w:r>
      <w:r w:rsidRPr="00773EDD">
        <w:rPr>
          <w:bCs/>
        </w:rPr>
        <w:t xml:space="preserve">: </w:t>
      </w:r>
      <w:r w:rsidR="00FF1A8C">
        <w:rPr>
          <w:bCs/>
        </w:rPr>
        <w:t>Las audiencias orales no se suspenden cuando opera una prescripción o caducidad</w:t>
      </w:r>
      <w:r w:rsidR="00CD0344" w:rsidRPr="0006424A">
        <w:rPr>
          <w:bCs/>
          <w:color w:val="000000"/>
          <w:lang w:eastAsia="es-CR"/>
        </w:rPr>
        <w:t>.</w:t>
      </w:r>
      <w:r w:rsidR="000F39B7" w:rsidRPr="0006424A">
        <w:rPr>
          <w:lang w:eastAsia="es-CR"/>
        </w:rPr>
        <w:t>-</w:t>
      </w:r>
    </w:p>
    <w:p w14:paraId="5A50FC5B" w14:textId="77777777" w:rsidR="00921F72" w:rsidRPr="00526700" w:rsidRDefault="00921F72" w:rsidP="009C0BAE">
      <w:pPr>
        <w:ind w:firstLine="709"/>
        <w:jc w:val="both"/>
        <w:rPr>
          <w:bCs/>
        </w:rPr>
      </w:pPr>
    </w:p>
    <w:p w14:paraId="6FEE0ED0" w14:textId="77777777" w:rsidR="00921F72" w:rsidRPr="009E562D" w:rsidRDefault="009E562D" w:rsidP="007005B4">
      <w:pPr>
        <w:widowControl w:val="0"/>
        <w:ind w:left="708"/>
        <w:rPr>
          <w:rFonts w:eastAsia="Arial Unicode MS"/>
          <w:b/>
          <w:kern w:val="1"/>
          <w:u w:val="single"/>
          <w:lang w:val="es-CR" w:eastAsia="es-CR"/>
        </w:rPr>
      </w:pPr>
      <w:r w:rsidRPr="009E562D">
        <w:rPr>
          <w:rFonts w:eastAsia="Arial Unicode MS"/>
          <w:b/>
          <w:kern w:val="1"/>
          <w:u w:val="single"/>
          <w:lang w:val="es-CR" w:eastAsia="es-CR"/>
        </w:rPr>
        <w:t xml:space="preserve">A </w:t>
      </w:r>
      <w:r w:rsidR="007005B4">
        <w:rPr>
          <w:rFonts w:eastAsia="Arial Unicode MS"/>
          <w:b/>
          <w:kern w:val="1"/>
          <w:u w:val="single"/>
          <w:lang w:val="es-CR" w:eastAsia="es-CR"/>
        </w:rPr>
        <w:t xml:space="preserve">TODOS LOS DESPACHOS JUDICIALES DEL PAÍS </w:t>
      </w:r>
      <w:r w:rsidR="00921F72" w:rsidRPr="009E562D">
        <w:rPr>
          <w:b/>
          <w:bCs/>
          <w:u w:val="single"/>
        </w:rPr>
        <w:t>SE LES HACE SABER QUE:</w:t>
      </w:r>
    </w:p>
    <w:p w14:paraId="1ABB4703" w14:textId="77777777" w:rsidR="00921F72" w:rsidRPr="00526700" w:rsidRDefault="00921F72" w:rsidP="009C0BAE">
      <w:pPr>
        <w:pStyle w:val="Textodebloque2"/>
        <w:ind w:left="0" w:right="0"/>
        <w:rPr>
          <w:sz w:val="23"/>
          <w:szCs w:val="23"/>
        </w:rPr>
      </w:pPr>
    </w:p>
    <w:p w14:paraId="42A10763" w14:textId="0F649075" w:rsidR="006A1F27" w:rsidRPr="00FF1A8C" w:rsidRDefault="00615D39" w:rsidP="00FF1A8C">
      <w:pPr>
        <w:suppressAutoHyphens w:val="0"/>
        <w:spacing w:before="120" w:after="120"/>
        <w:ind w:left="851" w:right="851" w:firstLine="709"/>
        <w:jc w:val="both"/>
        <w:rPr>
          <w:rFonts w:eastAsia="Batang"/>
          <w:lang w:val="es-CR" w:eastAsia="ko-KR"/>
        </w:rPr>
      </w:pPr>
      <w:r w:rsidRPr="00FF1A8C">
        <w:rPr>
          <w:bdr w:val="none" w:sz="0" w:space="0" w:color="auto" w:frame="1"/>
          <w:shd w:val="clear" w:color="auto" w:fill="FFFFFF"/>
          <w:lang w:val="es-ES_tradnl"/>
        </w:rPr>
        <w:t xml:space="preserve">El </w:t>
      </w:r>
      <w:r w:rsidR="0006424A" w:rsidRPr="00FF1A8C">
        <w:rPr>
          <w:bdr w:val="none" w:sz="0" w:space="0" w:color="auto" w:frame="1"/>
          <w:shd w:val="clear" w:color="auto" w:fill="FFFFFF"/>
          <w:lang w:val="es-ES_tradnl"/>
        </w:rPr>
        <w:t xml:space="preserve">Consejo Superior en sesión Nº </w:t>
      </w:r>
      <w:r w:rsidR="003D0DCA" w:rsidRPr="00FF1A8C">
        <w:rPr>
          <w:bdr w:val="none" w:sz="0" w:space="0" w:color="auto" w:frame="1"/>
          <w:shd w:val="clear" w:color="auto" w:fill="FFFFFF"/>
          <w:lang w:val="es-ES_tradnl"/>
        </w:rPr>
        <w:t>32</w:t>
      </w:r>
      <w:r w:rsidRPr="00FF1A8C">
        <w:rPr>
          <w:bdr w:val="none" w:sz="0" w:space="0" w:color="auto" w:frame="1"/>
          <w:shd w:val="clear" w:color="auto" w:fill="FFFFFF"/>
          <w:lang w:val="es-ES_tradnl"/>
        </w:rPr>
        <w:t xml:space="preserve">-2020, </w:t>
      </w:r>
      <w:r w:rsidR="007005B4" w:rsidRPr="00FF1A8C">
        <w:rPr>
          <w:bdr w:val="none" w:sz="0" w:space="0" w:color="auto" w:frame="1"/>
          <w:shd w:val="clear" w:color="auto" w:fill="FFFFFF"/>
        </w:rPr>
        <w:t>celebrada el 02</w:t>
      </w:r>
      <w:r w:rsidRPr="00FF1A8C">
        <w:rPr>
          <w:b/>
          <w:bCs/>
          <w:bdr w:val="none" w:sz="0" w:space="0" w:color="auto" w:frame="1"/>
          <w:shd w:val="clear" w:color="auto" w:fill="FFFFFF"/>
        </w:rPr>
        <w:t xml:space="preserve"> </w:t>
      </w:r>
      <w:r w:rsidRPr="00FF1A8C">
        <w:rPr>
          <w:bdr w:val="none" w:sz="0" w:space="0" w:color="auto" w:frame="1"/>
          <w:shd w:val="clear" w:color="auto" w:fill="FFFFFF"/>
        </w:rPr>
        <w:t xml:space="preserve">de </w:t>
      </w:r>
      <w:r w:rsidR="006A1F27" w:rsidRPr="00FF1A8C">
        <w:rPr>
          <w:bdr w:val="none" w:sz="0" w:space="0" w:color="auto" w:frame="1"/>
          <w:shd w:val="clear" w:color="auto" w:fill="FFFFFF"/>
        </w:rPr>
        <w:t>abril</w:t>
      </w:r>
      <w:r w:rsidRPr="00FF1A8C">
        <w:rPr>
          <w:bdr w:val="none" w:sz="0" w:space="0" w:color="auto" w:frame="1"/>
          <w:shd w:val="clear" w:color="auto" w:fill="FFFFFF"/>
        </w:rPr>
        <w:t xml:space="preserve"> del 2020</w:t>
      </w:r>
      <w:r w:rsidR="00FF1A8C" w:rsidRPr="00FF1A8C">
        <w:rPr>
          <w:bdr w:val="none" w:sz="0" w:space="0" w:color="auto" w:frame="1"/>
          <w:shd w:val="clear" w:color="auto" w:fill="FFFFFF"/>
          <w:lang w:val="es-ES_tradnl"/>
        </w:rPr>
        <w:t>, artículo LXXXV</w:t>
      </w:r>
      <w:r w:rsidRPr="00FF1A8C">
        <w:rPr>
          <w:bdr w:val="none" w:sz="0" w:space="0" w:color="auto" w:frame="1"/>
          <w:shd w:val="clear" w:color="auto" w:fill="FFFFFF"/>
          <w:lang w:val="es-ES_tradnl"/>
        </w:rPr>
        <w:t xml:space="preserve">, dispuso </w:t>
      </w:r>
      <w:r w:rsidR="00FF1A8C" w:rsidRPr="00FF1A8C">
        <w:rPr>
          <w:bdr w:val="none" w:sz="0" w:space="0" w:color="auto" w:frame="1"/>
          <w:shd w:val="clear" w:color="auto" w:fill="FFFFFF"/>
          <w:lang w:val="es-ES_tradnl"/>
        </w:rPr>
        <w:t xml:space="preserve">comunicar que de conformidad con el criterio jurídico </w:t>
      </w:r>
      <w:r w:rsidR="00FF1A8C">
        <w:rPr>
          <w:bdr w:val="none" w:sz="0" w:space="0" w:color="auto" w:frame="1"/>
          <w:shd w:val="clear" w:color="auto" w:fill="FFFFFF"/>
          <w:lang w:val="es-ES_tradnl"/>
        </w:rPr>
        <w:t>N</w:t>
      </w:r>
      <w:r w:rsidR="00FF1A8C" w:rsidRPr="00FF1A8C">
        <w:rPr>
          <w:color w:val="000000"/>
          <w:lang w:val="es-ES_tradnl" w:eastAsia="es-CR"/>
        </w:rPr>
        <w:t>° DJ-C-146-2020 del 2 de abril de 2020, sobre la suspensión de audiencias orales de los Tribunales unipersonales y colegiados, no podrán suspender audiencias cuando se trate de aquellos asuntos donde puede operar una prescripción o caducidad por la no realización de la respectiva audiencia, por lo que e</w:t>
      </w:r>
      <w:r w:rsidR="00FF1A8C">
        <w:rPr>
          <w:color w:val="000000"/>
          <w:lang w:val="es-ES_tradnl" w:eastAsia="es-CR"/>
        </w:rPr>
        <w:t>l Tribunal (J</w:t>
      </w:r>
      <w:r w:rsidR="00FF1A8C" w:rsidRPr="00FF1A8C">
        <w:rPr>
          <w:color w:val="000000"/>
          <w:lang w:val="es-ES_tradnl" w:eastAsia="es-CR"/>
        </w:rPr>
        <w:t xml:space="preserve">urisdiccional o </w:t>
      </w:r>
      <w:r w:rsidR="00FF1A8C">
        <w:rPr>
          <w:color w:val="000000"/>
          <w:lang w:val="es-ES_tradnl" w:eastAsia="es-CR"/>
        </w:rPr>
        <w:t>A</w:t>
      </w:r>
      <w:r w:rsidR="00FF1A8C" w:rsidRPr="00FF1A8C">
        <w:rPr>
          <w:color w:val="000000"/>
          <w:lang w:val="es-ES_tradnl" w:eastAsia="es-CR"/>
        </w:rPr>
        <w:t>dministrativo) deberá resolver lo pertinente.</w:t>
      </w:r>
    </w:p>
    <w:p w14:paraId="36A5479E" w14:textId="77777777" w:rsidR="004F0F16" w:rsidRPr="004F0F16" w:rsidRDefault="00916CF5" w:rsidP="00916CF5">
      <w:pPr>
        <w:pStyle w:val="Textodebloque2"/>
        <w:spacing w:before="120" w:after="120"/>
        <w:ind w:left="0" w:right="0"/>
        <w:rPr>
          <w:b/>
          <w:bCs/>
          <w:iCs/>
          <w:color w:val="000000"/>
        </w:rPr>
      </w:pPr>
      <w:r w:rsidRPr="004F0F16">
        <w:rPr>
          <w:b/>
          <w:bCs/>
          <w:iCs/>
          <w:color w:val="000000"/>
        </w:rPr>
        <w:t xml:space="preserve">De conformidad con la circular </w:t>
      </w:r>
      <w:r w:rsidR="004F0F16" w:rsidRPr="004F0F16">
        <w:rPr>
          <w:b/>
        </w:rPr>
        <w:t>No.</w:t>
      </w:r>
      <w:r w:rsidR="004F0F16" w:rsidRPr="00A668FD">
        <w:t xml:space="preserve"> </w:t>
      </w:r>
      <w:r w:rsidRPr="004F0F16">
        <w:rPr>
          <w:b/>
          <w:bCs/>
          <w:iCs/>
          <w:color w:val="000000"/>
        </w:rPr>
        <w:t xml:space="preserve">67-09 emitida por la Secretaría de la Corte el 22 de junio de 2009, se le comunica que en virtud del principio de gratuidad que rige esta materia, la publicación está exenta de todo pago de derechos. </w:t>
      </w:r>
    </w:p>
    <w:p w14:paraId="7DB94C64" w14:textId="77777777" w:rsidR="00916CF5" w:rsidRPr="004F0F16" w:rsidRDefault="00916CF5" w:rsidP="00916CF5">
      <w:pPr>
        <w:pStyle w:val="Textodebloque2"/>
        <w:spacing w:before="120" w:after="120"/>
        <w:ind w:left="0" w:right="0"/>
        <w:rPr>
          <w:b/>
        </w:rPr>
      </w:pPr>
      <w:r w:rsidRPr="004F0F16">
        <w:rPr>
          <w:b/>
          <w:bCs/>
          <w:lang w:val="es-ES_tradnl" w:eastAsia="ar-SA"/>
        </w:rPr>
        <w:t>Publíquese una sola vez en el Boletín Judicial.</w:t>
      </w:r>
    </w:p>
    <w:p w14:paraId="48B489EB" w14:textId="77777777" w:rsidR="00921F72" w:rsidRDefault="00921F72" w:rsidP="00526700">
      <w:pPr>
        <w:ind w:left="851" w:right="851" w:firstLine="567"/>
        <w:jc w:val="both"/>
        <w:rPr>
          <w:rFonts w:eastAsia="Arial Unicode MS"/>
          <w:b/>
          <w:bCs/>
          <w:kern w:val="2"/>
          <w:lang w:eastAsia="es-CR"/>
        </w:rPr>
      </w:pPr>
    </w:p>
    <w:p w14:paraId="511BE44C" w14:textId="26A99E9E" w:rsidR="00921F72" w:rsidRPr="00D27849" w:rsidRDefault="00921F72" w:rsidP="009C0BAE">
      <w:pPr>
        <w:suppressAutoHyphens w:val="0"/>
        <w:autoSpaceDE w:val="0"/>
        <w:autoSpaceDN w:val="0"/>
        <w:adjustRightInd w:val="0"/>
        <w:ind w:left="851" w:right="851" w:firstLine="567"/>
        <w:jc w:val="both"/>
        <w:rPr>
          <w:lang w:eastAsia="es-ES"/>
        </w:rPr>
      </w:pPr>
      <w:r w:rsidRPr="00D27849">
        <w:rPr>
          <w:b/>
          <w:bCs/>
        </w:rPr>
        <w:t xml:space="preserve">San José, </w:t>
      </w:r>
      <w:r w:rsidR="00DC5ABD">
        <w:rPr>
          <w:b/>
          <w:bCs/>
        </w:rPr>
        <w:t xml:space="preserve">30 </w:t>
      </w:r>
      <w:r w:rsidRPr="00D27849">
        <w:rPr>
          <w:b/>
          <w:bCs/>
        </w:rPr>
        <w:t xml:space="preserve">de </w:t>
      </w:r>
      <w:r w:rsidR="007005B4">
        <w:rPr>
          <w:b/>
          <w:bCs/>
        </w:rPr>
        <w:t>abril</w:t>
      </w:r>
      <w:r w:rsidRPr="00D27849">
        <w:rPr>
          <w:b/>
          <w:bCs/>
        </w:rPr>
        <w:t xml:space="preserve"> de 20</w:t>
      </w:r>
      <w:r w:rsidR="000F39B7">
        <w:rPr>
          <w:b/>
          <w:bCs/>
        </w:rPr>
        <w:t>20</w:t>
      </w:r>
    </w:p>
    <w:p w14:paraId="36120EFA" w14:textId="77777777" w:rsidR="00921F72" w:rsidRPr="00526700" w:rsidRDefault="00921F72" w:rsidP="009C0BAE">
      <w:pPr>
        <w:ind w:left="851" w:right="851" w:firstLine="567"/>
        <w:jc w:val="both"/>
        <w:rPr>
          <w:rFonts w:eastAsia="Arial Unicode MS"/>
          <w:b/>
          <w:bCs/>
          <w:kern w:val="2"/>
          <w:lang w:eastAsia="es-CR"/>
        </w:rPr>
      </w:pPr>
    </w:p>
    <w:p w14:paraId="6DD55EB7" w14:textId="77777777" w:rsidR="00921F72" w:rsidRPr="00D27849" w:rsidRDefault="00921F72" w:rsidP="00526700">
      <w:pPr>
        <w:ind w:left="851" w:right="851" w:firstLine="567"/>
        <w:jc w:val="both"/>
        <w:rPr>
          <w:rFonts w:eastAsia="Arial Unicode MS"/>
          <w:b/>
          <w:bCs/>
          <w:kern w:val="2"/>
          <w:sz w:val="23"/>
          <w:szCs w:val="23"/>
          <w:lang w:eastAsia="es-CR"/>
        </w:rPr>
      </w:pPr>
    </w:p>
    <w:p w14:paraId="2D9F80C7" w14:textId="77777777" w:rsidR="00921F72" w:rsidRPr="00526700" w:rsidRDefault="00921F72" w:rsidP="009C0BAE">
      <w:pPr>
        <w:pStyle w:val="Ttulo51"/>
        <w:keepNext w:val="0"/>
        <w:tabs>
          <w:tab w:val="clear" w:pos="0"/>
          <w:tab w:val="left" w:pos="708"/>
        </w:tabs>
        <w:ind w:left="851" w:right="851"/>
        <w:jc w:val="both"/>
        <w:rPr>
          <w:rFonts w:eastAsia="Times New Roman"/>
          <w:i w:val="0"/>
          <w:iCs w:val="0"/>
          <w:sz w:val="23"/>
          <w:szCs w:val="23"/>
          <w:u w:val="none"/>
        </w:rPr>
      </w:pPr>
      <w:r w:rsidRPr="00526700">
        <w:rPr>
          <w:rFonts w:eastAsia="Times New Roman"/>
          <w:i w:val="0"/>
          <w:iCs w:val="0"/>
          <w:sz w:val="23"/>
          <w:szCs w:val="23"/>
          <w:u w:val="none"/>
        </w:rPr>
        <w:t>Lic. Carlos Toscano Mora Rodríguez</w:t>
      </w:r>
    </w:p>
    <w:p w14:paraId="5B1C1427" w14:textId="77777777" w:rsidR="00921F72" w:rsidRPr="00526700" w:rsidRDefault="00921F72" w:rsidP="009C0BAE">
      <w:pPr>
        <w:pStyle w:val="Ttulo51"/>
        <w:keepNext w:val="0"/>
        <w:tabs>
          <w:tab w:val="clear" w:pos="0"/>
          <w:tab w:val="left" w:pos="708"/>
        </w:tabs>
        <w:ind w:left="851" w:right="851"/>
        <w:jc w:val="both"/>
        <w:rPr>
          <w:rFonts w:eastAsia="Times New Roman"/>
          <w:i w:val="0"/>
          <w:iCs w:val="0"/>
          <w:sz w:val="23"/>
          <w:szCs w:val="23"/>
          <w:u w:val="none"/>
        </w:rPr>
      </w:pPr>
      <w:r w:rsidRPr="00526700">
        <w:rPr>
          <w:rFonts w:eastAsia="Times New Roman"/>
          <w:i w:val="0"/>
          <w:iCs w:val="0"/>
          <w:sz w:val="23"/>
          <w:szCs w:val="23"/>
          <w:u w:val="none"/>
        </w:rPr>
        <w:t>Subsecretario General interino</w:t>
      </w:r>
    </w:p>
    <w:p w14:paraId="5F3E0F68" w14:textId="77777777" w:rsidR="00921F72" w:rsidRDefault="00921F72" w:rsidP="00526700">
      <w:pPr>
        <w:ind w:left="851" w:right="851"/>
        <w:jc w:val="both"/>
        <w:rPr>
          <w:b/>
          <w:bCs/>
          <w:sz w:val="23"/>
          <w:szCs w:val="23"/>
        </w:rPr>
      </w:pPr>
      <w:r w:rsidRPr="00526700">
        <w:rPr>
          <w:b/>
          <w:bCs/>
          <w:sz w:val="23"/>
          <w:szCs w:val="23"/>
        </w:rPr>
        <w:t>Corte Suprema de Justicia</w:t>
      </w:r>
    </w:p>
    <w:p w14:paraId="6AE1F08E" w14:textId="77777777" w:rsidR="00526700" w:rsidRDefault="00526700" w:rsidP="00526700">
      <w:pPr>
        <w:ind w:left="851" w:right="851"/>
        <w:jc w:val="both"/>
        <w:rPr>
          <w:b/>
          <w:bCs/>
          <w:sz w:val="16"/>
          <w:szCs w:val="16"/>
        </w:rPr>
      </w:pPr>
    </w:p>
    <w:p w14:paraId="78D66760" w14:textId="77777777" w:rsidR="00526700" w:rsidRDefault="00526700" w:rsidP="00526700">
      <w:pPr>
        <w:ind w:left="851" w:right="851"/>
        <w:jc w:val="both"/>
        <w:rPr>
          <w:b/>
          <w:bCs/>
          <w:sz w:val="16"/>
          <w:szCs w:val="16"/>
        </w:rPr>
      </w:pPr>
    </w:p>
    <w:p w14:paraId="5448CE60" w14:textId="77777777" w:rsidR="00916CF5" w:rsidRPr="0052587A" w:rsidRDefault="00916CF5" w:rsidP="00526700">
      <w:pPr>
        <w:ind w:left="851" w:right="851"/>
        <w:jc w:val="both"/>
        <w:rPr>
          <w:b/>
          <w:bCs/>
          <w:sz w:val="22"/>
          <w:szCs w:val="22"/>
        </w:rPr>
      </w:pPr>
    </w:p>
    <w:p w14:paraId="08222680" w14:textId="58F0D193" w:rsidR="0052587A" w:rsidRDefault="00916CF5" w:rsidP="0006424A">
      <w:pPr>
        <w:ind w:left="142" w:firstLine="709"/>
        <w:jc w:val="both"/>
        <w:rPr>
          <w:sz w:val="22"/>
          <w:szCs w:val="22"/>
        </w:rPr>
      </w:pPr>
      <w:r w:rsidRPr="0052587A">
        <w:rPr>
          <w:sz w:val="22"/>
          <w:szCs w:val="22"/>
        </w:rPr>
        <w:t>Refs.: (</w:t>
      </w:r>
      <w:r w:rsidR="00FF1A8C" w:rsidRPr="00FF1A8C">
        <w:rPr>
          <w:bCs/>
          <w:sz w:val="23"/>
          <w:szCs w:val="23"/>
        </w:rPr>
        <w:t>1810-2020, 4120-2020</w:t>
      </w:r>
      <w:r w:rsidRPr="007005B4">
        <w:rPr>
          <w:bCs/>
          <w:sz w:val="22"/>
          <w:szCs w:val="22"/>
        </w:rPr>
        <w:t>)</w:t>
      </w:r>
    </w:p>
    <w:p w14:paraId="212BA603" w14:textId="77777777" w:rsidR="00916CF5" w:rsidRPr="0052587A" w:rsidRDefault="00916CF5" w:rsidP="0006424A">
      <w:pPr>
        <w:ind w:left="142" w:firstLine="709"/>
        <w:jc w:val="both"/>
        <w:rPr>
          <w:b/>
          <w:bCs/>
          <w:color w:val="339933"/>
          <w:sz w:val="22"/>
          <w:szCs w:val="22"/>
        </w:rPr>
      </w:pPr>
      <w:r>
        <w:rPr>
          <w:rFonts w:ascii="Monotype Corsiva" w:hAnsi="Monotype Corsiva"/>
        </w:rPr>
        <w:t>Catalina Barquero Martínez</w:t>
      </w:r>
    </w:p>
    <w:p w14:paraId="228C8CB2" w14:textId="77777777" w:rsidR="00834F47" w:rsidRPr="00526700" w:rsidRDefault="00A16145" w:rsidP="00916CF5">
      <w:pPr>
        <w:ind w:left="851" w:right="851"/>
        <w:jc w:val="both"/>
        <w:rPr>
          <w:sz w:val="20"/>
          <w:szCs w:val="20"/>
        </w:rPr>
      </w:pPr>
    </w:p>
    <w:sectPr w:rsidR="00834F47" w:rsidRPr="00526700" w:rsidSect="00F66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B6C88"/>
    <w:multiLevelType w:val="multilevel"/>
    <w:tmpl w:val="3F7E3FAA"/>
    <w:lvl w:ilvl="0">
      <w:start w:val="1"/>
      <w:numFmt w:val="decimal"/>
      <w:lvlText w:val="%1."/>
      <w:lvlJc w:val="left"/>
      <w:pPr>
        <w:ind w:left="720" w:hanging="360"/>
      </w:pPr>
    </w:lvl>
    <w:lvl w:ilvl="1">
      <w:start w:val="2"/>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72"/>
    <w:rsid w:val="00031537"/>
    <w:rsid w:val="00041EB7"/>
    <w:rsid w:val="0006424A"/>
    <w:rsid w:val="000918B7"/>
    <w:rsid w:val="000B47C0"/>
    <w:rsid w:val="000F39B7"/>
    <w:rsid w:val="00154DA4"/>
    <w:rsid w:val="00181AF3"/>
    <w:rsid w:val="00283229"/>
    <w:rsid w:val="002D2209"/>
    <w:rsid w:val="003D0DCA"/>
    <w:rsid w:val="004173F0"/>
    <w:rsid w:val="004C1F31"/>
    <w:rsid w:val="004F0F16"/>
    <w:rsid w:val="0052587A"/>
    <w:rsid w:val="00526700"/>
    <w:rsid w:val="00615D39"/>
    <w:rsid w:val="00633846"/>
    <w:rsid w:val="006531BE"/>
    <w:rsid w:val="00671363"/>
    <w:rsid w:val="006A1F27"/>
    <w:rsid w:val="007005B4"/>
    <w:rsid w:val="007466DD"/>
    <w:rsid w:val="00773EDD"/>
    <w:rsid w:val="007A2B96"/>
    <w:rsid w:val="007D3646"/>
    <w:rsid w:val="008E4AD5"/>
    <w:rsid w:val="00916CF5"/>
    <w:rsid w:val="00921F72"/>
    <w:rsid w:val="00955EEF"/>
    <w:rsid w:val="009C0BAE"/>
    <w:rsid w:val="009E562D"/>
    <w:rsid w:val="00A02CAE"/>
    <w:rsid w:val="00A16145"/>
    <w:rsid w:val="00A42F3D"/>
    <w:rsid w:val="00A71976"/>
    <w:rsid w:val="00AC173E"/>
    <w:rsid w:val="00B171AB"/>
    <w:rsid w:val="00B658EC"/>
    <w:rsid w:val="00B975F0"/>
    <w:rsid w:val="00C136C6"/>
    <w:rsid w:val="00C231C2"/>
    <w:rsid w:val="00C36E93"/>
    <w:rsid w:val="00CB09DF"/>
    <w:rsid w:val="00CD0344"/>
    <w:rsid w:val="00CE3215"/>
    <w:rsid w:val="00D27849"/>
    <w:rsid w:val="00D57D74"/>
    <w:rsid w:val="00DC5ABD"/>
    <w:rsid w:val="00E01438"/>
    <w:rsid w:val="00E01509"/>
    <w:rsid w:val="00E72143"/>
    <w:rsid w:val="00EC5744"/>
    <w:rsid w:val="00FF1A8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5084"/>
  <w15:docId w15:val="{9DF8620D-D834-4E36-841B-51FC43AE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paragraph" w:styleId="Textoindependiente">
    <w:name w:val="Body Text"/>
    <w:basedOn w:val="Normal"/>
    <w:link w:val="TextoindependienteCar"/>
    <w:qFormat/>
    <w:rsid w:val="004173F0"/>
    <w:pPr>
      <w:spacing w:after="120"/>
    </w:pPr>
    <w:rPr>
      <w:lang w:eastAsia="ar-SA"/>
    </w:rPr>
  </w:style>
  <w:style w:type="character" w:customStyle="1" w:styleId="TextoindependienteCar">
    <w:name w:val="Texto independiente Car"/>
    <w:basedOn w:val="Fuentedeprrafopredeter"/>
    <w:link w:val="Textoindependiente"/>
    <w:rsid w:val="004173F0"/>
    <w:rPr>
      <w:rFonts w:ascii="Times New Roman" w:eastAsia="Times New Roman" w:hAnsi="Times New Roman" w:cs="Times New Roman"/>
      <w:sz w:val="24"/>
      <w:szCs w:val="24"/>
      <w:lang w:val="es-ES" w:eastAsia="ar-SA"/>
    </w:rPr>
  </w:style>
  <w:style w:type="paragraph" w:customStyle="1" w:styleId="Antecedente">
    <w:name w:val="Antecedente"/>
    <w:basedOn w:val="Normal"/>
    <w:link w:val="AntecedenteCar"/>
    <w:qFormat/>
    <w:rsid w:val="004173F0"/>
    <w:pPr>
      <w:spacing w:before="100" w:beforeAutospacing="1" w:after="100" w:afterAutospacing="1" w:line="480" w:lineRule="auto"/>
      <w:ind w:firstLine="708"/>
      <w:jc w:val="both"/>
    </w:pPr>
    <w:rPr>
      <w:bCs/>
      <w:sz w:val="28"/>
      <w:szCs w:val="28"/>
      <w:lang w:eastAsia="es-CR"/>
    </w:rPr>
  </w:style>
  <w:style w:type="character" w:customStyle="1" w:styleId="AntecedenteCar">
    <w:name w:val="Antecedente Car"/>
    <w:basedOn w:val="Fuentedeprrafopredeter"/>
    <w:link w:val="Antecedente"/>
    <w:rsid w:val="004173F0"/>
    <w:rPr>
      <w:rFonts w:ascii="Times New Roman" w:eastAsia="Times New Roman" w:hAnsi="Times New Roman" w:cs="Times New Roman"/>
      <w:bCs/>
      <w:sz w:val="28"/>
      <w:szCs w:val="28"/>
      <w:lang w:val="es-ES" w:eastAsia="es-CR"/>
    </w:rPr>
  </w:style>
  <w:style w:type="paragraph" w:customStyle="1" w:styleId="Default">
    <w:name w:val="Default"/>
    <w:uiPriority w:val="99"/>
    <w:qFormat/>
    <w:rsid w:val="00CD0344"/>
    <w:pPr>
      <w:widowControl w:val="0"/>
      <w:autoSpaceDE w:val="0"/>
      <w:autoSpaceDN w:val="0"/>
      <w:adjustRightInd w:val="0"/>
      <w:spacing w:before="0" w:beforeAutospacing="0" w:after="0" w:afterAutospacing="0"/>
      <w:ind w:left="0" w:right="0" w:firstLine="0"/>
      <w:jc w:val="left"/>
    </w:pPr>
    <w:rPr>
      <w:rFonts w:ascii="Verdana" w:eastAsia="Times New Roman" w:hAnsi="Verdana" w:cs="Verdan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1003</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Secretaría General de la Corte - Comunicaciones - Claudio Pessoa Quesada</cp:lastModifiedBy>
  <cp:revision>2</cp:revision>
  <dcterms:created xsi:type="dcterms:W3CDTF">2020-04-30T21:46:00Z</dcterms:created>
  <dcterms:modified xsi:type="dcterms:W3CDTF">2020-04-30T21:46:00Z</dcterms:modified>
</cp:coreProperties>
</file>