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1B8CF" w14:textId="4BA63CF2" w:rsidR="003B1C87" w:rsidRPr="003B1C87" w:rsidRDefault="003B1C87" w:rsidP="003B1C87">
      <w:pPr>
        <w:ind w:firstLine="709"/>
        <w:jc w:val="center"/>
        <w:rPr>
          <w:b/>
          <w:bCs/>
          <w:color w:val="000000"/>
          <w:sz w:val="21"/>
          <w:szCs w:val="21"/>
          <w:u w:val="single"/>
        </w:rPr>
      </w:pPr>
      <w:r w:rsidRPr="003B1C87">
        <w:rPr>
          <w:b/>
          <w:bCs/>
          <w:color w:val="000000"/>
          <w:sz w:val="21"/>
          <w:szCs w:val="21"/>
          <w:u w:val="single"/>
        </w:rPr>
        <w:t>SE REPRODUCE POR ERROR EN EL ORIGINAL</w:t>
      </w:r>
    </w:p>
    <w:p w14:paraId="437CF7FD" w14:textId="77777777" w:rsidR="003B1C87" w:rsidRPr="003B1C87" w:rsidRDefault="003B1C87" w:rsidP="003B1C87">
      <w:pPr>
        <w:ind w:firstLine="709"/>
        <w:jc w:val="center"/>
        <w:rPr>
          <w:b/>
          <w:bCs/>
          <w:color w:val="000000"/>
          <w:sz w:val="21"/>
          <w:szCs w:val="21"/>
          <w:u w:val="single"/>
        </w:rPr>
      </w:pPr>
    </w:p>
    <w:p w14:paraId="016150E1" w14:textId="297E2D04" w:rsidR="00921F72" w:rsidRPr="003B1C87" w:rsidRDefault="00921F72" w:rsidP="009C0BAE">
      <w:pPr>
        <w:ind w:firstLine="709"/>
        <w:jc w:val="both"/>
        <w:rPr>
          <w:b/>
          <w:bCs/>
          <w:color w:val="000000"/>
          <w:sz w:val="21"/>
          <w:szCs w:val="21"/>
          <w:u w:val="single"/>
        </w:rPr>
      </w:pPr>
      <w:r w:rsidRPr="003B1C87">
        <w:rPr>
          <w:b/>
          <w:bCs/>
          <w:color w:val="000000"/>
          <w:sz w:val="21"/>
          <w:szCs w:val="21"/>
          <w:u w:val="single"/>
        </w:rPr>
        <w:t xml:space="preserve">CIRCULAR No. </w:t>
      </w:r>
      <w:r w:rsidR="00C14DE1" w:rsidRPr="003B1C87">
        <w:rPr>
          <w:b/>
          <w:bCs/>
          <w:color w:val="000000"/>
          <w:sz w:val="21"/>
          <w:szCs w:val="21"/>
          <w:u w:val="single"/>
        </w:rPr>
        <w:t>286</w:t>
      </w:r>
      <w:r w:rsidRPr="003B1C87">
        <w:rPr>
          <w:b/>
          <w:bCs/>
          <w:color w:val="000000"/>
          <w:sz w:val="21"/>
          <w:szCs w:val="21"/>
          <w:u w:val="single"/>
        </w:rPr>
        <w:t>-20</w:t>
      </w:r>
      <w:r w:rsidR="00CD16A6" w:rsidRPr="003B1C87">
        <w:rPr>
          <w:b/>
          <w:bCs/>
          <w:color w:val="000000"/>
          <w:sz w:val="21"/>
          <w:szCs w:val="21"/>
          <w:u w:val="single"/>
        </w:rPr>
        <w:t>20</w:t>
      </w:r>
    </w:p>
    <w:p w14:paraId="0D68845C" w14:textId="77777777" w:rsidR="00921F72" w:rsidRPr="003B1C87" w:rsidRDefault="00921F72" w:rsidP="009C0BAE">
      <w:pPr>
        <w:ind w:firstLine="709"/>
        <w:jc w:val="both"/>
        <w:rPr>
          <w:b/>
          <w:bCs/>
          <w:color w:val="000000"/>
          <w:sz w:val="21"/>
          <w:szCs w:val="21"/>
          <w:u w:val="single"/>
          <w:lang w:eastAsia="es-CR"/>
        </w:rPr>
      </w:pPr>
    </w:p>
    <w:p w14:paraId="7DAA6EDF" w14:textId="4E470DF3" w:rsidR="00921F72" w:rsidRPr="003B1C87" w:rsidRDefault="00921F72" w:rsidP="009C0BAE">
      <w:pPr>
        <w:ind w:firstLine="709"/>
        <w:jc w:val="both"/>
        <w:rPr>
          <w:bCs/>
          <w:sz w:val="21"/>
          <w:szCs w:val="21"/>
        </w:rPr>
      </w:pPr>
      <w:r w:rsidRPr="003B1C87">
        <w:rPr>
          <w:b/>
          <w:bCs/>
          <w:sz w:val="21"/>
          <w:szCs w:val="21"/>
          <w:u w:val="single"/>
        </w:rPr>
        <w:t>Asunto</w:t>
      </w:r>
      <w:r w:rsidRPr="003B1C87">
        <w:rPr>
          <w:bCs/>
          <w:sz w:val="21"/>
          <w:szCs w:val="21"/>
        </w:rPr>
        <w:t xml:space="preserve">: </w:t>
      </w:r>
      <w:r w:rsidRPr="003B1C87">
        <w:rPr>
          <w:bCs/>
          <w:sz w:val="21"/>
          <w:szCs w:val="21"/>
        </w:rPr>
        <w:tab/>
      </w:r>
      <w:r w:rsidR="00C14DE1" w:rsidRPr="003B1C87">
        <w:rPr>
          <w:bCs/>
          <w:sz w:val="21"/>
          <w:szCs w:val="21"/>
          <w:lang w:val="es-CR"/>
        </w:rPr>
        <w:t xml:space="preserve">Actualización del a circular 127-20. </w:t>
      </w:r>
      <w:r w:rsidR="00C14DE1" w:rsidRPr="003B1C87">
        <w:rPr>
          <w:b/>
          <w:bCs/>
          <w:sz w:val="21"/>
          <w:szCs w:val="21"/>
          <w:lang w:val="es-CR"/>
        </w:rPr>
        <w:t>Guía para realizar las Reuniones Restaurativas con participantes virtuales de la Dirección Nacional de Justicia Restaurativa</w:t>
      </w:r>
    </w:p>
    <w:p w14:paraId="0E6C6839" w14:textId="77777777" w:rsidR="00921F72" w:rsidRPr="003B1C87" w:rsidRDefault="00921F72" w:rsidP="009C0BAE">
      <w:pPr>
        <w:ind w:firstLine="709"/>
        <w:jc w:val="both"/>
        <w:rPr>
          <w:bCs/>
          <w:sz w:val="21"/>
          <w:szCs w:val="21"/>
        </w:rPr>
      </w:pPr>
    </w:p>
    <w:p w14:paraId="0C9A1FA6" w14:textId="77777777" w:rsidR="00C14DE1" w:rsidRPr="003B1C87" w:rsidRDefault="00C14DE1" w:rsidP="00C14DE1">
      <w:pPr>
        <w:shd w:val="clear" w:color="auto" w:fill="FFFFFF"/>
        <w:suppressAutoHyphens w:val="0"/>
        <w:ind w:right="851" w:firstLine="708"/>
        <w:jc w:val="both"/>
        <w:rPr>
          <w:color w:val="000000"/>
          <w:sz w:val="21"/>
          <w:szCs w:val="21"/>
          <w:lang w:val="es-CR" w:eastAsia="es-CR"/>
        </w:rPr>
      </w:pPr>
      <w:r w:rsidRPr="003B1C87">
        <w:rPr>
          <w:b/>
          <w:bCs/>
          <w:color w:val="000000"/>
          <w:sz w:val="21"/>
          <w:szCs w:val="21"/>
          <w:u w:val="single"/>
          <w:bdr w:val="none" w:sz="0" w:space="0" w:color="auto" w:frame="1"/>
          <w:lang w:val="es-CR" w:eastAsia="es-CR"/>
        </w:rPr>
        <w:t>A LOS DESPACHOS JUDICIALES DEL PAÍS</w:t>
      </w:r>
    </w:p>
    <w:p w14:paraId="0E7778A5" w14:textId="443EE429" w:rsidR="00921F72" w:rsidRDefault="00C14DE1" w:rsidP="00C14DE1">
      <w:pPr>
        <w:ind w:firstLine="709"/>
        <w:jc w:val="both"/>
        <w:rPr>
          <w:b/>
          <w:bCs/>
          <w:sz w:val="21"/>
          <w:szCs w:val="21"/>
        </w:rPr>
      </w:pPr>
      <w:r w:rsidRPr="003B1C87">
        <w:rPr>
          <w:b/>
          <w:bCs/>
          <w:color w:val="000000"/>
          <w:sz w:val="21"/>
          <w:szCs w:val="21"/>
          <w:u w:val="single"/>
          <w:bdr w:val="none" w:sz="0" w:space="0" w:color="auto" w:frame="1"/>
          <w:lang w:val="es-CR" w:eastAsia="es-CR"/>
        </w:rPr>
        <w:t xml:space="preserve">QUE CONOCEN JUSTICIA PENAL Y JUSTICIA JUVENIL </w:t>
      </w:r>
      <w:r w:rsidR="00921F72" w:rsidRPr="003B1C87">
        <w:rPr>
          <w:b/>
          <w:bCs/>
          <w:sz w:val="21"/>
          <w:szCs w:val="21"/>
          <w:u w:val="single"/>
        </w:rPr>
        <w:t>SE LES HACE SABER QUE</w:t>
      </w:r>
      <w:r w:rsidR="00921F72" w:rsidRPr="003B1C87">
        <w:rPr>
          <w:b/>
          <w:bCs/>
          <w:sz w:val="21"/>
          <w:szCs w:val="21"/>
        </w:rPr>
        <w:t>:</w:t>
      </w:r>
    </w:p>
    <w:p w14:paraId="3BC3E0AC" w14:textId="77777777" w:rsidR="003B1C87" w:rsidRPr="003B1C87" w:rsidRDefault="003B1C87" w:rsidP="00C14DE1">
      <w:pPr>
        <w:ind w:firstLine="709"/>
        <w:jc w:val="both"/>
        <w:rPr>
          <w:b/>
          <w:bCs/>
          <w:sz w:val="21"/>
          <w:szCs w:val="21"/>
        </w:rPr>
      </w:pPr>
    </w:p>
    <w:p w14:paraId="4E079DFF" w14:textId="51BFFBFF" w:rsidR="00C14DE1" w:rsidRDefault="00C14DE1" w:rsidP="00C14DE1">
      <w:pPr>
        <w:pStyle w:val="Textodebloque2"/>
        <w:ind w:left="0" w:right="0"/>
        <w:rPr>
          <w:sz w:val="21"/>
          <w:szCs w:val="21"/>
        </w:rPr>
      </w:pPr>
      <w:r w:rsidRPr="003B1C87">
        <w:rPr>
          <w:sz w:val="21"/>
          <w:szCs w:val="21"/>
        </w:rPr>
        <w:t>El Consejo Superior del Poder Judicial en sesión No. 106-2020 celebrada el 05 de noviembre de 2020, artículo LXVI, aprobó la actualización de la circular 127-2020, referente a la Guía para realizar las Reuniones Restaurativas con participantes virtuales de la Dirección Nacional de Justicia Restaurativa, para la atención de casos durante la emergencia nacional sanitaria del COVID-19, de conformidad a las circulares institucionales de la Secretaría General de la Corte, números 35-2020, 47-2020 y 66-2020.</w:t>
      </w:r>
    </w:p>
    <w:p w14:paraId="4D334DDD" w14:textId="77777777" w:rsidR="003B1C87" w:rsidRPr="003B1C87" w:rsidRDefault="003B1C87" w:rsidP="00C14DE1">
      <w:pPr>
        <w:pStyle w:val="Textodebloque2"/>
        <w:ind w:left="0" w:right="0"/>
        <w:rPr>
          <w:sz w:val="21"/>
          <w:szCs w:val="21"/>
        </w:rPr>
      </w:pPr>
    </w:p>
    <w:p w14:paraId="168D7364" w14:textId="0DCED8EC" w:rsidR="00C14DE1" w:rsidRDefault="00C14DE1" w:rsidP="00C14DE1">
      <w:pPr>
        <w:pStyle w:val="Textodebloque2"/>
        <w:ind w:left="0" w:right="0"/>
        <w:rPr>
          <w:sz w:val="21"/>
          <w:szCs w:val="21"/>
        </w:rPr>
      </w:pPr>
      <w:r w:rsidRPr="003B1C87">
        <w:rPr>
          <w:sz w:val="21"/>
          <w:szCs w:val="21"/>
        </w:rPr>
        <w:t>La Dirección de Planificación mediante oficio N° 1538-PLA-MMI-OI-2020 realizó observaciones a dicha Guía, las cuales fueron incorporadas para ajustarla al Protocolo para la realización de audiencias orales por medios tecnológicos en materia penal, contravencional, ejecución de la pena y penal juvenil, aprobado por Corte Plena en sesión 27-2020, artículo II, celebrada el 18 de mayo del 2020 y publicado mediante Circular N° 102-2020 de la Secretaría General de la Corte Suprema de Justicia.</w:t>
      </w:r>
    </w:p>
    <w:p w14:paraId="53648144" w14:textId="77777777" w:rsidR="003B1C87" w:rsidRPr="003B1C87" w:rsidRDefault="003B1C87" w:rsidP="00C14DE1">
      <w:pPr>
        <w:pStyle w:val="Textodebloque2"/>
        <w:ind w:left="0" w:right="0"/>
        <w:rPr>
          <w:sz w:val="21"/>
          <w:szCs w:val="21"/>
        </w:rPr>
      </w:pPr>
    </w:p>
    <w:p w14:paraId="03D96418" w14:textId="249428D5" w:rsidR="00C14DE1" w:rsidRDefault="00C14DE1" w:rsidP="00C14DE1">
      <w:pPr>
        <w:pStyle w:val="Textodebloque2"/>
        <w:ind w:left="0" w:right="0"/>
        <w:rPr>
          <w:sz w:val="21"/>
          <w:szCs w:val="21"/>
        </w:rPr>
      </w:pPr>
      <w:r w:rsidRPr="003B1C87">
        <w:rPr>
          <w:sz w:val="21"/>
          <w:szCs w:val="21"/>
        </w:rPr>
        <w:t>En razón de lo anterior, y a partir de la experiencia de los equipos interdisciplinarios en los primeros meses del 2020, conforme las posiciones de la Fiscalía Adjunta de Justicia Restaurativa y la Coordinación de la Fiscalía Adjunta Penal Juvenil, la Coordinación de la Defensa Pública de Justicia Restaurativa y la Coordinación de la Defensa Pública de Penal Juvenil, y la Coordinación de Justicia Restaurativa del Departamento de Trabajo Social y Psicología; se imiten los siguientes lineamientos para garantizar la continuidad ininterrumpida del servicio que brinda Justicia Restaurativa, independientemente de la alerta sanitaria en que se encuentre el lugar donde se desarrollan las diligencias o se encuentran las personas usuarias; y continuar con la maximización del uso de la virtualidad en los procedimientos restaurativos; permitiendo a los equipos interdisciplinarios de Justicia Restaurativa determinar la conveniencia de brindar el servicio de manera presencial o virtual según el caso concreto.</w:t>
      </w:r>
    </w:p>
    <w:p w14:paraId="62EF34F0" w14:textId="77777777" w:rsidR="003B1C87" w:rsidRPr="003B1C87" w:rsidRDefault="003B1C87" w:rsidP="00C14DE1">
      <w:pPr>
        <w:pStyle w:val="Textodebloque2"/>
        <w:ind w:left="0" w:right="0"/>
        <w:rPr>
          <w:sz w:val="21"/>
          <w:szCs w:val="21"/>
        </w:rPr>
      </w:pPr>
    </w:p>
    <w:p w14:paraId="0C802FC0" w14:textId="77777777" w:rsidR="003B1C87" w:rsidRDefault="00C14DE1" w:rsidP="003B1C87">
      <w:pPr>
        <w:jc w:val="both"/>
        <w:rPr>
          <w:color w:val="000000"/>
          <w:lang w:val="es-CR" w:eastAsia="es-CR"/>
        </w:rPr>
      </w:pPr>
      <w:r w:rsidRPr="003B1C87">
        <w:rPr>
          <w:sz w:val="21"/>
          <w:szCs w:val="21"/>
        </w:rPr>
        <w:t xml:space="preserve">Puede accesar a la circular completa en el siguiente link:  </w:t>
      </w:r>
      <w:hyperlink r:id="rId4" w:history="1">
        <w:r w:rsidR="003B1C87" w:rsidRPr="003B1C87">
          <w:rPr>
            <w:rStyle w:val="Hipervnculo"/>
            <w:sz w:val="21"/>
            <w:szCs w:val="21"/>
          </w:rPr>
          <w:t>https://secretariacorte.poder-judicial.go.cr/index.php/documentos?download=5071:lineamientos-generales-para-la-atencion-de-casos-de-justicia-restaurativa-mediante-el-uso-de-la-virtualidad</w:t>
        </w:r>
      </w:hyperlink>
    </w:p>
    <w:p w14:paraId="4679E9B5" w14:textId="2CB48662" w:rsidR="00C14DE1" w:rsidRPr="003B1C87" w:rsidRDefault="00C14DE1" w:rsidP="00C14DE1">
      <w:pPr>
        <w:pStyle w:val="Textodebloque2"/>
        <w:ind w:left="0" w:right="0"/>
        <w:rPr>
          <w:sz w:val="21"/>
          <w:szCs w:val="21"/>
        </w:rPr>
      </w:pPr>
    </w:p>
    <w:p w14:paraId="0BECB307" w14:textId="2C428A37" w:rsidR="00F6102E" w:rsidRDefault="00F6102E" w:rsidP="00C14DE1">
      <w:pPr>
        <w:pStyle w:val="Textodebloque2"/>
        <w:ind w:left="0" w:right="0"/>
        <w:rPr>
          <w:sz w:val="21"/>
          <w:szCs w:val="21"/>
        </w:rPr>
      </w:pPr>
    </w:p>
    <w:p w14:paraId="18E44E6F" w14:textId="77777777" w:rsidR="00AD45BB" w:rsidRPr="003B1C87" w:rsidRDefault="00AD45BB" w:rsidP="00AD45BB">
      <w:pPr>
        <w:pStyle w:val="Textodebloque2"/>
        <w:ind w:left="0" w:right="0"/>
        <w:rPr>
          <w:b/>
          <w:bCs/>
          <w:sz w:val="21"/>
          <w:szCs w:val="21"/>
          <w:lang w:val="es-ES_tradnl" w:eastAsia="ar-SA"/>
        </w:rPr>
      </w:pPr>
      <w:r w:rsidRPr="003B1C87">
        <w:rPr>
          <w:b/>
          <w:bCs/>
          <w:sz w:val="21"/>
          <w:szCs w:val="21"/>
          <w:lang w:val="es-ES_tradnl" w:eastAsia="ar-SA"/>
        </w:rPr>
        <w:t>De conformidad con la circular N° 67-09 emitida por la Secretaría de la Corte el 22 de junio de 2009, se le comunica que en virtud del principio de gratuidad que rige esta materia, la publicación está exenta de todo pago de derechos. Publíquese una sola vez en el Boletín Judicial.</w:t>
      </w:r>
    </w:p>
    <w:p w14:paraId="5604F397" w14:textId="77777777" w:rsidR="00F6102E" w:rsidRPr="003B1C87" w:rsidRDefault="00F6102E" w:rsidP="009C0BAE">
      <w:pPr>
        <w:pStyle w:val="Textodebloque2"/>
        <w:ind w:left="0" w:right="0"/>
        <w:rPr>
          <w:bCs/>
          <w:sz w:val="21"/>
          <w:szCs w:val="21"/>
          <w:lang w:val="es-ES_tradnl"/>
        </w:rPr>
      </w:pPr>
    </w:p>
    <w:p w14:paraId="603E69D2" w14:textId="77777777" w:rsidR="00921F72" w:rsidRPr="003B1C87" w:rsidRDefault="00921F72" w:rsidP="009C0BAE">
      <w:pPr>
        <w:suppressAutoHyphens w:val="0"/>
        <w:autoSpaceDE w:val="0"/>
        <w:autoSpaceDN w:val="0"/>
        <w:adjustRightInd w:val="0"/>
        <w:ind w:left="851" w:right="851" w:firstLine="567"/>
        <w:jc w:val="both"/>
        <w:rPr>
          <w:sz w:val="21"/>
          <w:szCs w:val="21"/>
        </w:rPr>
      </w:pPr>
    </w:p>
    <w:p w14:paraId="0EAB4750" w14:textId="42E1F1F6" w:rsidR="00921F72" w:rsidRDefault="00921F72" w:rsidP="00F6102E">
      <w:pPr>
        <w:suppressAutoHyphens w:val="0"/>
        <w:autoSpaceDE w:val="0"/>
        <w:autoSpaceDN w:val="0"/>
        <w:adjustRightInd w:val="0"/>
        <w:ind w:right="851" w:firstLine="708"/>
        <w:jc w:val="both"/>
        <w:rPr>
          <w:b/>
          <w:bCs/>
          <w:sz w:val="21"/>
          <w:szCs w:val="21"/>
        </w:rPr>
      </w:pPr>
      <w:r w:rsidRPr="003B1C87">
        <w:rPr>
          <w:b/>
          <w:bCs/>
          <w:sz w:val="21"/>
          <w:szCs w:val="21"/>
        </w:rPr>
        <w:t xml:space="preserve">San José, </w:t>
      </w:r>
      <w:r w:rsidR="00DA26A2">
        <w:rPr>
          <w:b/>
          <w:bCs/>
          <w:sz w:val="21"/>
          <w:szCs w:val="21"/>
        </w:rPr>
        <w:t>22</w:t>
      </w:r>
      <w:r w:rsidRPr="003B1C87">
        <w:rPr>
          <w:b/>
          <w:bCs/>
          <w:sz w:val="21"/>
          <w:szCs w:val="21"/>
        </w:rPr>
        <w:t xml:space="preserve"> de </w:t>
      </w:r>
      <w:r w:rsidR="00DA26A2">
        <w:rPr>
          <w:b/>
          <w:bCs/>
          <w:sz w:val="21"/>
          <w:szCs w:val="21"/>
        </w:rPr>
        <w:t>enero</w:t>
      </w:r>
      <w:r w:rsidRPr="003B1C87">
        <w:rPr>
          <w:b/>
          <w:bCs/>
          <w:sz w:val="21"/>
          <w:szCs w:val="21"/>
        </w:rPr>
        <w:t xml:space="preserve"> de 20</w:t>
      </w:r>
      <w:r w:rsidR="00CD16A6" w:rsidRPr="003B1C87">
        <w:rPr>
          <w:b/>
          <w:bCs/>
          <w:sz w:val="21"/>
          <w:szCs w:val="21"/>
        </w:rPr>
        <w:t>2</w:t>
      </w:r>
      <w:r w:rsidR="007C2C3A">
        <w:rPr>
          <w:b/>
          <w:bCs/>
          <w:sz w:val="21"/>
          <w:szCs w:val="21"/>
        </w:rPr>
        <w:t>1</w:t>
      </w:r>
    </w:p>
    <w:p w14:paraId="175BA460" w14:textId="31BDC0E8" w:rsidR="003B1C87" w:rsidRDefault="003B1C87" w:rsidP="00F6102E">
      <w:pPr>
        <w:suppressAutoHyphens w:val="0"/>
        <w:autoSpaceDE w:val="0"/>
        <w:autoSpaceDN w:val="0"/>
        <w:adjustRightInd w:val="0"/>
        <w:ind w:right="851" w:firstLine="708"/>
        <w:jc w:val="both"/>
        <w:rPr>
          <w:b/>
          <w:bCs/>
          <w:sz w:val="21"/>
          <w:szCs w:val="21"/>
        </w:rPr>
      </w:pPr>
    </w:p>
    <w:p w14:paraId="579E4970" w14:textId="77777777" w:rsidR="003B1C87" w:rsidRPr="003B1C87" w:rsidRDefault="003B1C87" w:rsidP="00F6102E">
      <w:pPr>
        <w:suppressAutoHyphens w:val="0"/>
        <w:autoSpaceDE w:val="0"/>
        <w:autoSpaceDN w:val="0"/>
        <w:adjustRightInd w:val="0"/>
        <w:ind w:right="851" w:firstLine="708"/>
        <w:jc w:val="both"/>
        <w:rPr>
          <w:sz w:val="21"/>
          <w:szCs w:val="21"/>
          <w:lang w:eastAsia="es-ES"/>
        </w:rPr>
      </w:pPr>
    </w:p>
    <w:p w14:paraId="78825682" w14:textId="77777777" w:rsidR="00921F72" w:rsidRPr="003B1C87" w:rsidRDefault="00921F72" w:rsidP="009C0BAE">
      <w:pPr>
        <w:pStyle w:val="Ttulo51"/>
        <w:keepNext w:val="0"/>
        <w:tabs>
          <w:tab w:val="clear" w:pos="0"/>
          <w:tab w:val="left" w:pos="708"/>
        </w:tabs>
        <w:ind w:left="851" w:right="851"/>
        <w:jc w:val="both"/>
        <w:rPr>
          <w:rFonts w:eastAsia="Times New Roman"/>
          <w:i w:val="0"/>
          <w:iCs w:val="0"/>
          <w:sz w:val="21"/>
          <w:szCs w:val="21"/>
          <w:u w:val="none"/>
        </w:rPr>
      </w:pPr>
      <w:r w:rsidRPr="003B1C87">
        <w:rPr>
          <w:rFonts w:eastAsia="Times New Roman"/>
          <w:i w:val="0"/>
          <w:iCs w:val="0"/>
          <w:sz w:val="21"/>
          <w:szCs w:val="21"/>
          <w:u w:val="none"/>
        </w:rPr>
        <w:t>Lic. Carlos Toscano Mora Rodríguez</w:t>
      </w:r>
    </w:p>
    <w:p w14:paraId="3B3DBCBA" w14:textId="77777777" w:rsidR="00921F72" w:rsidRPr="003B1C87" w:rsidRDefault="00921F72" w:rsidP="009C0BAE">
      <w:pPr>
        <w:pStyle w:val="Ttulo51"/>
        <w:keepNext w:val="0"/>
        <w:tabs>
          <w:tab w:val="clear" w:pos="0"/>
          <w:tab w:val="left" w:pos="708"/>
        </w:tabs>
        <w:ind w:left="851" w:right="851"/>
        <w:jc w:val="both"/>
        <w:rPr>
          <w:rFonts w:eastAsia="Times New Roman"/>
          <w:i w:val="0"/>
          <w:iCs w:val="0"/>
          <w:sz w:val="21"/>
          <w:szCs w:val="21"/>
          <w:u w:val="none"/>
        </w:rPr>
      </w:pPr>
      <w:r w:rsidRPr="003B1C87">
        <w:rPr>
          <w:rFonts w:eastAsia="Times New Roman"/>
          <w:i w:val="0"/>
          <w:iCs w:val="0"/>
          <w:sz w:val="21"/>
          <w:szCs w:val="21"/>
          <w:u w:val="none"/>
        </w:rPr>
        <w:t>Subsecretario General interino</w:t>
      </w:r>
    </w:p>
    <w:p w14:paraId="4A7DFD04" w14:textId="4F16479A" w:rsidR="00921F72" w:rsidRPr="003B1C87" w:rsidRDefault="00921F72" w:rsidP="009C0BAE">
      <w:pPr>
        <w:ind w:left="851" w:right="851"/>
        <w:jc w:val="both"/>
        <w:rPr>
          <w:b/>
          <w:bCs/>
          <w:sz w:val="21"/>
          <w:szCs w:val="21"/>
        </w:rPr>
      </w:pPr>
      <w:r w:rsidRPr="003B1C87">
        <w:rPr>
          <w:b/>
          <w:bCs/>
          <w:sz w:val="21"/>
          <w:szCs w:val="21"/>
        </w:rPr>
        <w:t>Corte Suprema de Justicia</w:t>
      </w:r>
    </w:p>
    <w:p w14:paraId="24C5B1BE" w14:textId="77777777" w:rsidR="00EA505A" w:rsidRPr="003B1C87" w:rsidRDefault="00EA505A" w:rsidP="009C0BAE">
      <w:pPr>
        <w:ind w:left="851" w:right="851"/>
        <w:jc w:val="both"/>
        <w:rPr>
          <w:b/>
          <w:bCs/>
          <w:sz w:val="21"/>
          <w:szCs w:val="21"/>
        </w:rPr>
      </w:pPr>
    </w:p>
    <w:p w14:paraId="2F0547F1" w14:textId="6BDB4BB1" w:rsidR="00921F72" w:rsidRPr="003B1C87" w:rsidRDefault="00921F72" w:rsidP="009C0BAE">
      <w:pPr>
        <w:jc w:val="both"/>
        <w:rPr>
          <w:bCs/>
          <w:sz w:val="21"/>
          <w:szCs w:val="21"/>
        </w:rPr>
      </w:pPr>
      <w:r w:rsidRPr="003B1C87">
        <w:rPr>
          <w:sz w:val="21"/>
          <w:szCs w:val="21"/>
        </w:rPr>
        <w:t>Refs</w:t>
      </w:r>
      <w:r w:rsidR="00955EEF" w:rsidRPr="003B1C87">
        <w:rPr>
          <w:sz w:val="21"/>
          <w:szCs w:val="21"/>
        </w:rPr>
        <w:t>.</w:t>
      </w:r>
      <w:r w:rsidRPr="003B1C87">
        <w:rPr>
          <w:sz w:val="21"/>
          <w:szCs w:val="21"/>
        </w:rPr>
        <w:t xml:space="preserve">: </w:t>
      </w:r>
      <w:r w:rsidR="00C14DE1" w:rsidRPr="003B1C87">
        <w:rPr>
          <w:b/>
          <w:sz w:val="21"/>
          <w:szCs w:val="21"/>
          <w:lang w:val="es-CR"/>
        </w:rPr>
        <w:t>7774-2020, 12444-2020</w:t>
      </w:r>
    </w:p>
    <w:p w14:paraId="09A0CDB2" w14:textId="3D61CC1A" w:rsidR="00834F47" w:rsidRPr="003B1C87" w:rsidRDefault="00F6102E" w:rsidP="009C0BAE">
      <w:pPr>
        <w:jc w:val="both"/>
        <w:rPr>
          <w:i/>
          <w:iCs/>
          <w:sz w:val="21"/>
          <w:szCs w:val="21"/>
        </w:rPr>
      </w:pPr>
      <w:r w:rsidRPr="003B1C87">
        <w:rPr>
          <w:bCs/>
          <w:i/>
          <w:iCs/>
          <w:sz w:val="21"/>
          <w:szCs w:val="21"/>
        </w:rPr>
        <w:t>S</w:t>
      </w:r>
      <w:r w:rsidR="00C14DE1" w:rsidRPr="003B1C87">
        <w:rPr>
          <w:bCs/>
          <w:i/>
          <w:iCs/>
          <w:sz w:val="21"/>
          <w:szCs w:val="21"/>
        </w:rPr>
        <w:t xml:space="preserve">twart </w:t>
      </w:r>
      <w:r w:rsidRPr="003B1C87">
        <w:rPr>
          <w:bCs/>
          <w:i/>
          <w:iCs/>
          <w:sz w:val="21"/>
          <w:szCs w:val="21"/>
        </w:rPr>
        <w:t>M</w:t>
      </w:r>
      <w:r w:rsidR="00C14DE1" w:rsidRPr="003B1C87">
        <w:rPr>
          <w:bCs/>
          <w:i/>
          <w:iCs/>
          <w:sz w:val="21"/>
          <w:szCs w:val="21"/>
        </w:rPr>
        <w:t xml:space="preserve">éndez </w:t>
      </w:r>
      <w:r w:rsidRPr="003B1C87">
        <w:rPr>
          <w:bCs/>
          <w:i/>
          <w:iCs/>
          <w:sz w:val="21"/>
          <w:szCs w:val="21"/>
        </w:rPr>
        <w:t>B</w:t>
      </w:r>
      <w:r w:rsidR="00C14DE1" w:rsidRPr="003B1C87">
        <w:rPr>
          <w:bCs/>
          <w:i/>
          <w:iCs/>
          <w:sz w:val="21"/>
          <w:szCs w:val="21"/>
        </w:rPr>
        <w:t>arrantes</w:t>
      </w:r>
    </w:p>
    <w:sectPr w:rsidR="00834F47" w:rsidRPr="003B1C87" w:rsidSect="00F66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72"/>
    <w:rsid w:val="00251A69"/>
    <w:rsid w:val="003B1C87"/>
    <w:rsid w:val="004C1F31"/>
    <w:rsid w:val="004F0832"/>
    <w:rsid w:val="00671363"/>
    <w:rsid w:val="006F0BF1"/>
    <w:rsid w:val="007C2C3A"/>
    <w:rsid w:val="00921F72"/>
    <w:rsid w:val="00955EEF"/>
    <w:rsid w:val="009C0BAE"/>
    <w:rsid w:val="00A42F3D"/>
    <w:rsid w:val="00A71976"/>
    <w:rsid w:val="00AD45BB"/>
    <w:rsid w:val="00B86FA7"/>
    <w:rsid w:val="00C14DE1"/>
    <w:rsid w:val="00C36E93"/>
    <w:rsid w:val="00CD16A6"/>
    <w:rsid w:val="00CE3215"/>
    <w:rsid w:val="00DA26A2"/>
    <w:rsid w:val="00EA505A"/>
    <w:rsid w:val="00F610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1E60"/>
  <w15:docId w15:val="{15CB7EE0-D91D-4E2A-B3D6-EE400041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before="100" w:beforeAutospacing="1" w:after="100" w:afterAutospacing="1"/>
        <w:ind w:left="851" w:right="851"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72"/>
    <w:pPr>
      <w:suppressAutoHyphens/>
      <w:spacing w:before="0" w:beforeAutospacing="0" w:after="0" w:afterAutospacing="0"/>
      <w:ind w:left="0" w:right="0" w:firstLine="0"/>
      <w:jc w:val="left"/>
    </w:pPr>
    <w:rPr>
      <w:rFonts w:ascii="Times New Roman" w:eastAsia="Times New Roman" w:hAnsi="Times New Roman" w:cs="Times New Roman"/>
      <w:sz w:val="24"/>
      <w:szCs w:val="24"/>
      <w:lang w:val="es-ES" w:eastAsia="zh-CN"/>
    </w:rPr>
  </w:style>
  <w:style w:type="paragraph" w:styleId="Ttulo1">
    <w:name w:val="heading 1"/>
    <w:aliases w:val="Título Principal"/>
    <w:basedOn w:val="Normal"/>
    <w:next w:val="Normal"/>
    <w:link w:val="Ttulo1Car"/>
    <w:qFormat/>
    <w:rsid w:val="00C14DE1"/>
    <w:pPr>
      <w:keepNext/>
      <w:spacing w:before="240" w:after="60"/>
      <w:outlineLvl w:val="0"/>
    </w:pPr>
    <w:rPr>
      <w:rFonts w:ascii="Arial" w:hAnsi="Arial" w:cs="Arial"/>
      <w:b/>
      <w:bCs/>
      <w:color w:val="000080"/>
      <w:kern w:val="1"/>
      <w:sz w:val="32"/>
      <w:szCs w:val="32"/>
      <w:u w:val="single"/>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2">
    <w:name w:val="Texto de bloque2"/>
    <w:basedOn w:val="Normal"/>
    <w:rsid w:val="00921F72"/>
    <w:pPr>
      <w:widowControl w:val="0"/>
      <w:suppressAutoHyphens w:val="0"/>
      <w:ind w:left="851" w:right="851" w:firstLine="709"/>
      <w:jc w:val="both"/>
    </w:pPr>
  </w:style>
  <w:style w:type="paragraph" w:customStyle="1" w:styleId="Ttulo51">
    <w:name w:val="Título 51"/>
    <w:next w:val="Normal"/>
    <w:rsid w:val="00921F72"/>
    <w:pPr>
      <w:keepNext/>
      <w:widowControl w:val="0"/>
      <w:tabs>
        <w:tab w:val="left" w:pos="0"/>
      </w:tabs>
      <w:suppressAutoHyphens/>
      <w:spacing w:before="0" w:beforeAutospacing="0" w:after="0" w:afterAutospacing="0"/>
      <w:ind w:left="0" w:right="0" w:firstLine="0"/>
      <w:jc w:val="center"/>
    </w:pPr>
    <w:rPr>
      <w:rFonts w:ascii="Times New Roman" w:eastAsia="Lucida Sans Unicode" w:hAnsi="Times New Roman" w:cs="Times New Roman"/>
      <w:b/>
      <w:bCs/>
      <w:i/>
      <w:iCs/>
      <w:sz w:val="26"/>
      <w:szCs w:val="26"/>
      <w:u w:val="single"/>
      <w:shd w:val="clear" w:color="auto" w:fill="FFFFFF"/>
      <w:lang w:val="es-ES" w:eastAsia="zh-CN"/>
    </w:rPr>
  </w:style>
  <w:style w:type="character" w:customStyle="1" w:styleId="Ttulo1Car">
    <w:name w:val="Título 1 Car"/>
    <w:aliases w:val="Título Principal Car"/>
    <w:basedOn w:val="Fuentedeprrafopredeter"/>
    <w:link w:val="Ttulo1"/>
    <w:rsid w:val="00C14DE1"/>
    <w:rPr>
      <w:rFonts w:ascii="Arial" w:eastAsia="Times New Roman" w:hAnsi="Arial" w:cs="Arial"/>
      <w:b/>
      <w:bCs/>
      <w:color w:val="000080"/>
      <w:kern w:val="1"/>
      <w:sz w:val="32"/>
      <w:szCs w:val="32"/>
      <w:u w:val="single"/>
      <w:lang w:val="es-ES" w:eastAsia="ar-SA"/>
    </w:rPr>
  </w:style>
  <w:style w:type="character" w:styleId="Hipervnculo">
    <w:name w:val="Hyperlink"/>
    <w:basedOn w:val="Fuentedeprrafopredeter"/>
    <w:uiPriority w:val="99"/>
    <w:semiHidden/>
    <w:unhideWhenUsed/>
    <w:rsid w:val="00C14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24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cretariacorte.poder-judicial.go.cr/index.php/documentos?download=5071:lineamientos-generales-para-la-atencion-de-casos-de-justicia-restaurativa-mediante-el-uso-de-la-virtual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503</Words>
  <Characters>2768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aromanc</dc:creator>
  <cp:lastModifiedBy>Daniel Stuard Méndez Barrantes</cp:lastModifiedBy>
  <cp:revision>4</cp:revision>
  <dcterms:created xsi:type="dcterms:W3CDTF">2021-01-22T20:33:00Z</dcterms:created>
  <dcterms:modified xsi:type="dcterms:W3CDTF">2021-01-22T20:48:00Z</dcterms:modified>
</cp:coreProperties>
</file>